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C1" w:rsidRDefault="00724B1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aps/>
          <w:color w:val="000000"/>
          <w:sz w:val="28"/>
        </w:rPr>
        <w:t>Механизм банкротства и пути его совершенствования</w:t>
      </w:r>
    </w:p>
    <w:p w:rsidR="000378C1" w:rsidRDefault="00724B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Крутько Е.В.,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Бусарина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Ю.В. </w:t>
      </w:r>
    </w:p>
    <w:p w:rsidR="000378C1" w:rsidRDefault="00724B17">
      <w:pPr>
        <w:spacing w:after="0" w:line="240" w:lineRule="auto"/>
        <w:rPr>
          <w:rFonts w:ascii="TimesNewRomanPS-ItalicMT-Identi" w:eastAsia="TimesNewRomanPS-ItalicMT-Identi" w:hAnsi="TimesNewRomanPS-ItalicMT-Identi" w:cs="TimesNewRomanPS-ItalicMT-Identi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ФГБОУ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ВО</w:t>
      </w:r>
      <w:proofErr w:type="gramEnd"/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 </w:t>
      </w:r>
      <w:r>
        <w:rPr>
          <w:rFonts w:ascii="Calibri" w:eastAsia="Calibri" w:hAnsi="Calibri" w:cs="Calibri"/>
          <w:i/>
          <w:sz w:val="28"/>
        </w:rPr>
        <w:t>«</w:t>
      </w:r>
      <w:r>
        <w:rPr>
          <w:rFonts w:ascii="Times New Roman" w:eastAsia="Times New Roman" w:hAnsi="Times New Roman" w:cs="Times New Roman"/>
          <w:i/>
          <w:sz w:val="28"/>
        </w:rPr>
        <w:t>Воронежский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государственный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лесотехнический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университет</w:t>
      </w:r>
    </w:p>
    <w:p w:rsidR="000378C1" w:rsidRDefault="00724B17">
      <w:pPr>
        <w:spacing w:after="0" w:line="240" w:lineRule="auto"/>
        <w:rPr>
          <w:rFonts w:ascii="TimesNewRomanPS-ItalicMT-Identi" w:eastAsia="TimesNewRomanPS-ItalicMT-Identi" w:hAnsi="TimesNewRomanPS-ItalicMT-Identi" w:cs="TimesNewRomanPS-ItalicMT-Identi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имени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>Г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>.</w:t>
      </w:r>
      <w:r>
        <w:rPr>
          <w:rFonts w:ascii="Times New Roman" w:eastAsia="Times New Roman" w:hAnsi="Times New Roman" w:cs="Times New Roman"/>
          <w:i/>
          <w:sz w:val="28"/>
        </w:rPr>
        <w:t>Ф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. </w:t>
      </w:r>
      <w:r>
        <w:rPr>
          <w:rFonts w:ascii="Times New Roman" w:eastAsia="Times New Roman" w:hAnsi="Times New Roman" w:cs="Times New Roman"/>
          <w:i/>
          <w:sz w:val="28"/>
        </w:rPr>
        <w:t>Морозова</w:t>
      </w:r>
      <w:r>
        <w:rPr>
          <w:rFonts w:ascii="Calibri" w:eastAsia="Calibri" w:hAnsi="Calibri" w:cs="Calibri"/>
          <w:i/>
          <w:sz w:val="28"/>
        </w:rPr>
        <w:t>»</w:t>
      </w:r>
    </w:p>
    <w:p w:rsidR="000378C1" w:rsidRDefault="00724B17">
      <w:pPr>
        <w:spacing w:before="100" w:after="0" w:line="240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Воронеж</w:t>
      </w:r>
      <w:r>
        <w:rPr>
          <w:rFonts w:ascii="TimesNewRomanPS-ItalicMT-Identi" w:eastAsia="TimesNewRomanPS-ItalicMT-Identi" w:hAnsi="TimesNewRomanPS-ItalicMT-Identi" w:cs="TimesNewRomanPS-ItalicMT-Identi"/>
          <w:i/>
          <w:sz w:val="28"/>
        </w:rPr>
        <w:t xml:space="preserve">, </w:t>
      </w:r>
      <w:r>
        <w:rPr>
          <w:rFonts w:ascii="Times New Roman" w:eastAsia="Times New Roman" w:hAnsi="Times New Roman" w:cs="Times New Roman"/>
          <w:i/>
          <w:sz w:val="28"/>
        </w:rPr>
        <w:t>Россия</w:t>
      </w:r>
    </w:p>
    <w:p w:rsidR="000378C1" w:rsidRPr="00250295" w:rsidRDefault="00724B1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lang w:val="en-US"/>
        </w:rPr>
      </w:pPr>
      <w:r w:rsidRPr="00250295">
        <w:rPr>
          <w:rFonts w:ascii="Times New Roman" w:eastAsia="Times New Roman" w:hAnsi="Times New Roman" w:cs="Times New Roman"/>
          <w:b/>
          <w:caps/>
          <w:color w:val="000000"/>
          <w:sz w:val="28"/>
          <w:lang w:val="en-US"/>
        </w:rPr>
        <w:t>The mechanism of bankruptcy and ways to improve it</w:t>
      </w:r>
    </w:p>
    <w:p w:rsidR="000378C1" w:rsidRPr="00250295" w:rsidRDefault="00724B1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lang w:val="en-US"/>
        </w:rPr>
      </w:pPr>
      <w:r w:rsidRPr="00250295">
        <w:rPr>
          <w:rFonts w:ascii="Times New Roman" w:eastAsia="Times New Roman" w:hAnsi="Times New Roman" w:cs="Times New Roman"/>
          <w:i/>
          <w:sz w:val="28"/>
          <w:lang w:val="en-US"/>
        </w:rPr>
        <w:t xml:space="preserve">FSBEI </w:t>
      </w:r>
      <w:proofErr w:type="gramStart"/>
      <w:r w:rsidRPr="00250295">
        <w:rPr>
          <w:rFonts w:ascii="Times New Roman" w:eastAsia="Times New Roman" w:hAnsi="Times New Roman" w:cs="Times New Roman"/>
          <w:i/>
          <w:sz w:val="28"/>
          <w:lang w:val="en-US"/>
        </w:rPr>
        <w:t>HE</w:t>
      </w:r>
      <w:proofErr w:type="gramEnd"/>
      <w:r w:rsidRPr="00250295">
        <w:rPr>
          <w:rFonts w:ascii="Times New Roman" w:eastAsia="Times New Roman" w:hAnsi="Times New Roman" w:cs="Times New Roman"/>
          <w:i/>
          <w:sz w:val="28"/>
          <w:lang w:val="en-US"/>
        </w:rPr>
        <w:t xml:space="preserve"> «Voronezh State University of Forestry and Technologies</w:t>
      </w:r>
    </w:p>
    <w:p w:rsidR="000378C1" w:rsidRPr="00250295" w:rsidRDefault="00724B1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lang w:val="en-US"/>
        </w:rPr>
      </w:pPr>
      <w:proofErr w:type="gramStart"/>
      <w:r w:rsidRPr="00250295">
        <w:rPr>
          <w:rFonts w:ascii="Times New Roman" w:eastAsia="Times New Roman" w:hAnsi="Times New Roman" w:cs="Times New Roman"/>
          <w:i/>
          <w:sz w:val="28"/>
          <w:lang w:val="en-US"/>
        </w:rPr>
        <w:t>named</w:t>
      </w:r>
      <w:proofErr w:type="gramEnd"/>
      <w:r w:rsidRPr="00250295">
        <w:rPr>
          <w:rFonts w:ascii="Times New Roman" w:eastAsia="Times New Roman" w:hAnsi="Times New Roman" w:cs="Times New Roman"/>
          <w:i/>
          <w:sz w:val="28"/>
          <w:lang w:val="en-US"/>
        </w:rPr>
        <w:t xml:space="preserve"> after G.F. </w:t>
      </w:r>
      <w:proofErr w:type="spellStart"/>
      <w:r w:rsidRPr="00250295">
        <w:rPr>
          <w:rFonts w:ascii="Times New Roman" w:eastAsia="Times New Roman" w:hAnsi="Times New Roman" w:cs="Times New Roman"/>
          <w:i/>
          <w:sz w:val="28"/>
          <w:lang w:val="en-US"/>
        </w:rPr>
        <w:t>Morozov</w:t>
      </w:r>
      <w:proofErr w:type="spellEnd"/>
      <w:r w:rsidRPr="00250295">
        <w:rPr>
          <w:rFonts w:ascii="Times New Roman" w:eastAsia="Times New Roman" w:hAnsi="Times New Roman" w:cs="Times New Roman"/>
          <w:i/>
          <w:sz w:val="28"/>
          <w:lang w:val="en-US"/>
        </w:rPr>
        <w:t>»</w:t>
      </w:r>
    </w:p>
    <w:p w:rsidR="000378C1" w:rsidRDefault="00724B17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</w:rPr>
        <w:t>Voronezh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Russia</w:t>
      </w:r>
      <w:proofErr w:type="spellEnd"/>
    </w:p>
    <w:p w:rsidR="000378C1" w:rsidRDefault="000378C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Банкротство - это крайний вид кризисного состояния, когда предприятие не в силах оплатить свою задолженность и восстановить платежеспособность за с</w:t>
      </w:r>
      <w:r>
        <w:rPr>
          <w:rFonts w:ascii="Times New Roman" w:eastAsia="Times New Roman" w:hAnsi="Times New Roman" w:cs="Times New Roman"/>
          <w:sz w:val="28"/>
        </w:rPr>
        <w:t xml:space="preserve">чет собственных источников доходов. Это результат развития кризисного состояния предприятия и рыночного инструмента перераспределения капитала. 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Институт банкротства - неотъемлемая часть рыночного хозяйства, которая представляет собой неизбежный и обусловл</w:t>
      </w:r>
      <w:r>
        <w:rPr>
          <w:rFonts w:ascii="Times New Roman" w:eastAsia="Times New Roman" w:hAnsi="Times New Roman" w:cs="Times New Roman"/>
          <w:sz w:val="28"/>
        </w:rPr>
        <w:t>енный результат функционирования рыночных отношений. Он служит отличным стимулом эффективной работы предпринимательских структур, гарантируя одновременно экономические интересы кредиторов и государства.  [1]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Выделяют одну из главных целей экономической пол</w:t>
      </w:r>
      <w:r>
        <w:rPr>
          <w:rFonts w:ascii="Times New Roman" w:eastAsia="Times New Roman" w:hAnsi="Times New Roman" w:cs="Times New Roman"/>
          <w:sz w:val="28"/>
        </w:rPr>
        <w:t xml:space="preserve">итики государства - повышение эффективности использования производственных ресурсов, что в итоге является основной целью банкротства, как экономико - правового института. 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экономической точки зрения банкротство – это порядок ликвидации и продажа имущества неплатежеспособного предприятия в целях соответствующего удовлетворения требований кредиторов в связи с невозможностью продолжения его деятельности. Можно сделать вывод, </w:t>
      </w:r>
      <w:r>
        <w:rPr>
          <w:rFonts w:ascii="Times New Roman" w:eastAsia="Times New Roman" w:hAnsi="Times New Roman" w:cs="Times New Roman"/>
          <w:sz w:val="28"/>
        </w:rPr>
        <w:t>что банкротство является частным случаем несостоятельности, значит понятия «несостоятельность» и «банкротство» использовать их как синонимы не корректно.  [2]</w:t>
      </w:r>
    </w:p>
    <w:p w:rsidR="00250295" w:rsidRDefault="002502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схеме 1 приведены этапы банкротства предприятия.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50295" w:rsidTr="00250295">
        <w:tc>
          <w:tcPr>
            <w:tcW w:w="9571" w:type="dxa"/>
          </w:tcPr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 Этап</w:t>
            </w:r>
          </w:p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Зарождение финансовой неустойчивости, появление негативных явлений в хозяйственной деятельности предприятия</w:t>
            </w:r>
          </w:p>
        </w:tc>
      </w:tr>
    </w:tbl>
    <w:p w:rsidR="00250295" w:rsidRDefault="00250295" w:rsidP="002502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left:0;text-align:left;margin-left:206.7pt;margin-top:.2pt;width:44.25pt;height:24.75pt;z-index:251658240;mso-position-horizontal-relative:text;mso-position-vertical-relative:text">
            <v:textbox style="layout-flow:vertical-ideographic"/>
          </v:shape>
        </w:pict>
      </w:r>
    </w:p>
    <w:tbl>
      <w:tblPr>
        <w:tblStyle w:val="a3"/>
        <w:tblW w:w="9586" w:type="dxa"/>
        <w:tblLook w:val="04A0" w:firstRow="1" w:lastRow="0" w:firstColumn="1" w:lastColumn="0" w:noHBand="0" w:noVBand="1"/>
      </w:tblPr>
      <w:tblGrid>
        <w:gridCol w:w="9586"/>
      </w:tblGrid>
      <w:tr w:rsidR="00250295" w:rsidTr="00250295">
        <w:trPr>
          <w:trHeight w:val="495"/>
        </w:trPr>
        <w:tc>
          <w:tcPr>
            <w:tcW w:w="9586" w:type="dxa"/>
          </w:tcPr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 Этап</w:t>
            </w:r>
          </w:p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Возникновение финансовой неустойчивости (начальная стадия финансовой неустойчивости)</w:t>
            </w:r>
          </w:p>
        </w:tc>
      </w:tr>
    </w:tbl>
    <w:p w:rsidR="00250295" w:rsidRDefault="00250295" w:rsidP="002502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pict>
          <v:shape id="_x0000_s1028" type="#_x0000_t67" style="position:absolute;left:0;text-align:left;margin-left:211.2pt;margin-top:.1pt;width:44.25pt;height:24.75pt;z-index:251659264;mso-position-horizontal-relative:text;mso-position-vertical-relative:text">
            <v:textbox style="layout-flow:vertical-ideographic"/>
          </v:shape>
        </w:pic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50295" w:rsidTr="00250295">
        <w:tc>
          <w:tcPr>
            <w:tcW w:w="9571" w:type="dxa"/>
          </w:tcPr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Этап </w:t>
            </w:r>
          </w:p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</w:rPr>
              <w:pict>
                <v:shape id="_x0000_s1029" type="#_x0000_t67" style="position:absolute;left:0;text-align:left;margin-left:216.45pt;margin-top:24.05pt;width:44.25pt;height:24.75pt;z-index:251660288">
                  <v:textbox style="layout-flow:vertical-ideographic"/>
                </v:shape>
              </w:pict>
            </w:r>
            <w:r>
              <w:rPr>
                <w:rFonts w:ascii="Times New Roman" w:eastAsia="Times New Roman" w:hAnsi="Times New Roman" w:cs="Times New Roman"/>
                <w:sz w:val="28"/>
              </w:rPr>
              <w:t>Устойчивая (длительная) финансовая неустойчивость</w:t>
            </w:r>
          </w:p>
        </w:tc>
      </w:tr>
    </w:tbl>
    <w:p w:rsidR="00250295" w:rsidRDefault="00250295" w:rsidP="0025029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50295" w:rsidTr="00250295">
        <w:tc>
          <w:tcPr>
            <w:tcW w:w="9571" w:type="dxa"/>
          </w:tcPr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Этап </w:t>
            </w:r>
          </w:p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</w:rPr>
              <w:pict>
                <v:shape id="_x0000_s1030" type="#_x0000_t67" style="position:absolute;left:0;text-align:left;margin-left:216.45pt;margin-top:24.05pt;width:44.25pt;height:24.75pt;z-index:251662336">
                  <v:textbox style="layout-flow:vertical-ideographic"/>
                </v:shape>
              </w:pic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Хроническая </w:t>
            </w:r>
            <w:r>
              <w:rPr>
                <w:rFonts w:ascii="Times New Roman" w:eastAsia="Times New Roman" w:hAnsi="Times New Roman" w:cs="Times New Roman"/>
                <w:sz w:val="28"/>
              </w:rPr>
              <w:t>финансовая неустойчивость</w:t>
            </w:r>
          </w:p>
        </w:tc>
      </w:tr>
    </w:tbl>
    <w:p w:rsidR="00250295" w:rsidRDefault="00250295" w:rsidP="0025029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50295" w:rsidTr="00250295">
        <w:tc>
          <w:tcPr>
            <w:tcW w:w="9571" w:type="dxa"/>
          </w:tcPr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этап </w:t>
            </w:r>
          </w:p>
          <w:p w:rsidR="00250295" w:rsidRDefault="00250295" w:rsidP="002502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Банкротство организации</w:t>
            </w:r>
          </w:p>
        </w:tc>
      </w:tr>
    </w:tbl>
    <w:p w:rsidR="0061153A" w:rsidRDefault="0061153A" w:rsidP="0061153A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250295" w:rsidRDefault="0061153A" w:rsidP="0061153A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Схема 1 – Этапы банкротства.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экономике выделяют 4 вида банкротства: </w:t>
      </w:r>
    </w:p>
    <w:p w:rsidR="000378C1" w:rsidRDefault="00724B17">
      <w:pPr>
        <w:numPr>
          <w:ilvl w:val="0"/>
          <w:numId w:val="1"/>
        </w:num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Реальное банкротство предприятия, которое характеризует</w:t>
      </w:r>
      <w:r>
        <w:rPr>
          <w:rFonts w:ascii="Times New Roman" w:eastAsia="Times New Roman" w:hAnsi="Times New Roman" w:cs="Times New Roman"/>
          <w:sz w:val="28"/>
        </w:rPr>
        <w:t xml:space="preserve">ся неспособностью организации восстановить свою платежеспособность в силу реальных потерь собственного и заемного капитала. Наличие большой суммы кредиторской задолженности и высокий уровень потерь капитала не позволяют вести нормальную </w:t>
      </w:r>
      <w:proofErr w:type="spellStart"/>
      <w:r>
        <w:rPr>
          <w:rFonts w:ascii="Times New Roman" w:eastAsia="Times New Roman" w:hAnsi="Times New Roman" w:cs="Times New Roman"/>
          <w:sz w:val="28"/>
        </w:rPr>
        <w:t>производственнохозя</w:t>
      </w:r>
      <w:r>
        <w:rPr>
          <w:rFonts w:ascii="Times New Roman" w:eastAsia="Times New Roman" w:hAnsi="Times New Roman" w:cs="Times New Roman"/>
          <w:sz w:val="28"/>
        </w:rPr>
        <w:t>йственную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деятельность.</w:t>
      </w:r>
    </w:p>
    <w:p w:rsidR="000378C1" w:rsidRDefault="00724B17">
      <w:pPr>
        <w:numPr>
          <w:ilvl w:val="0"/>
          <w:numId w:val="1"/>
        </w:num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Временное (условное) банкротство вызвано превышением активов над пассивами, а также большим размером задолженности дебиторского типа. Условное банкротство не приводит к ликвидации организации - могут быть назначены арбитражные проц</w:t>
      </w:r>
      <w:r>
        <w:rPr>
          <w:rFonts w:ascii="Times New Roman" w:eastAsia="Times New Roman" w:hAnsi="Times New Roman" w:cs="Times New Roman"/>
          <w:sz w:val="28"/>
        </w:rPr>
        <w:t xml:space="preserve">едуры внутреннего и внешнего управления, тогда у него появляется возможность восстановления. Это даёт возможность </w:t>
      </w:r>
      <w:r>
        <w:rPr>
          <w:rFonts w:ascii="Times New Roman" w:eastAsia="Times New Roman" w:hAnsi="Times New Roman" w:cs="Times New Roman"/>
          <w:sz w:val="28"/>
        </w:rPr>
        <w:lastRenderedPageBreak/>
        <w:t>предприятию развиваться в новом направлении с учётом требования рынка, чтобы восстановить свою платежеспособность.</w:t>
      </w:r>
    </w:p>
    <w:p w:rsidR="000378C1" w:rsidRDefault="00724B17">
      <w:pPr>
        <w:numPr>
          <w:ilvl w:val="0"/>
          <w:numId w:val="1"/>
        </w:num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Преднамеренное (умышленное)</w:t>
      </w:r>
      <w:r>
        <w:rPr>
          <w:rFonts w:ascii="Times New Roman" w:eastAsia="Times New Roman" w:hAnsi="Times New Roman" w:cs="Times New Roman"/>
          <w:sz w:val="28"/>
        </w:rPr>
        <w:t xml:space="preserve"> банкротство. Оно характеризуется умышленным созданием руководителями и собственниками предприятия состояния его неплатежеспособности, нанесением ему экономического вреда в личных интересах.</w:t>
      </w:r>
    </w:p>
    <w:p w:rsidR="000378C1" w:rsidRDefault="00724B17">
      <w:pPr>
        <w:numPr>
          <w:ilvl w:val="0"/>
          <w:numId w:val="1"/>
        </w:num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Фиктивное банкротство – это заведомо ложное объявление руководите</w:t>
      </w:r>
      <w:r>
        <w:rPr>
          <w:rFonts w:ascii="Times New Roman" w:eastAsia="Times New Roman" w:hAnsi="Times New Roman" w:cs="Times New Roman"/>
          <w:sz w:val="28"/>
        </w:rPr>
        <w:t>лем или собственником коммерческого предприятия о своей несостоятельности, чтобы ввести в заблуждение кредиторов для получения отсрочки или рассрочки причитающихся кредиторам платежей или скидки с долгов. [3]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Система законов о банкротстве устанавливает в о</w:t>
      </w:r>
      <w:r>
        <w:rPr>
          <w:rFonts w:ascii="Times New Roman" w:eastAsia="Times New Roman" w:hAnsi="Times New Roman" w:cs="Times New Roman"/>
          <w:sz w:val="28"/>
        </w:rPr>
        <w:t xml:space="preserve">бязательном порядке единые условия неплатежеспособности организации, </w:t>
      </w:r>
      <w:proofErr w:type="gramStart"/>
      <w:r>
        <w:rPr>
          <w:rFonts w:ascii="Times New Roman" w:eastAsia="Times New Roman" w:hAnsi="Times New Roman" w:cs="Times New Roman"/>
          <w:sz w:val="28"/>
        </w:rPr>
        <w:t>упорядочивавший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регистрацию банкротства и процедуры, предполагающие одновременное рассмотрение обязательств компании-должника по отношению ко всем заинтересованным сторонам. Существование</w:t>
      </w:r>
      <w:r>
        <w:rPr>
          <w:rFonts w:ascii="Times New Roman" w:eastAsia="Times New Roman" w:hAnsi="Times New Roman" w:cs="Times New Roman"/>
          <w:sz w:val="28"/>
        </w:rPr>
        <w:t xml:space="preserve"> общих государственных стандартов, процедур и норм исключает возможность конструирования особых условий расчета с участником. Таким образом, можно констатировать, что в случае неплатежеспособности предприятия, законодательство о банкротстве задает стандарт</w:t>
      </w:r>
      <w:r>
        <w:rPr>
          <w:rFonts w:ascii="Times New Roman" w:eastAsia="Times New Roman" w:hAnsi="Times New Roman" w:cs="Times New Roman"/>
          <w:sz w:val="28"/>
        </w:rPr>
        <w:t>ы в сфере обеспечения прав собственности.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Следует заметить, что реализация процедур банкротства неизбежно влечет потери для государства, кредиторов, должника, поскольку возможности использования банкротства для преобразования бизнеса фирм и смены неэффекти</w:t>
      </w:r>
      <w:r>
        <w:rPr>
          <w:rFonts w:ascii="Times New Roman" w:eastAsia="Times New Roman" w:hAnsi="Times New Roman" w:cs="Times New Roman"/>
          <w:sz w:val="28"/>
        </w:rPr>
        <w:t>вных собственников весьма ограничены. Его главное назначение – снижение хозяйственных рисков в экономике, ликвидация неэффективных производств и перераспределение нерационально используемых активов.  [4]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Таким образом, ситуация ухода экономического субъекта с рынка корректируется государственными органами так, чтобы при распределении объектов собственности между экономическими агентами их совокупная </w:t>
      </w:r>
      <w:r>
        <w:rPr>
          <w:rFonts w:ascii="Times New Roman" w:eastAsia="Times New Roman" w:hAnsi="Times New Roman" w:cs="Times New Roman"/>
          <w:sz w:val="28"/>
        </w:rPr>
        <w:lastRenderedPageBreak/>
        <w:t>величина после банкротства у всех агентов была бы не мень</w:t>
      </w:r>
      <w:r>
        <w:rPr>
          <w:rFonts w:ascii="Times New Roman" w:eastAsia="Times New Roman" w:hAnsi="Times New Roman" w:cs="Times New Roman"/>
          <w:sz w:val="28"/>
        </w:rPr>
        <w:t>ше, чем до этой процедуры.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Так же необходимо исключить залоговые отношения и самих кредиторов из числа субъектов по делу о банкротстве. При продаже предмета залога доход от его реализации должен погасить в полном объеме требование, обеспеченное залогом иму</w:t>
      </w:r>
      <w:r>
        <w:rPr>
          <w:rFonts w:ascii="Times New Roman" w:eastAsia="Times New Roman" w:hAnsi="Times New Roman" w:cs="Times New Roman"/>
          <w:sz w:val="28"/>
        </w:rPr>
        <w:t xml:space="preserve">щества. Это позволит сохранить приоритет материального права и актуальность самого залога как правового инструмента материального права. </w:t>
      </w:r>
    </w:p>
    <w:p w:rsidR="00724B17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Пути совершенствования механизмов банкротства представлены в Схеме 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24B17" w:rsidTr="00724B17">
        <w:tc>
          <w:tcPr>
            <w:tcW w:w="9571" w:type="dxa"/>
          </w:tcPr>
          <w:p w:rsidR="00724B17" w:rsidRDefault="00724B17" w:rsidP="00724B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27.45pt;margin-top:23.8pt;width:1.5pt;height:201pt;z-index:251663360" o:connectortype="straight"/>
              </w:pict>
            </w:r>
            <w:r>
              <w:rPr>
                <w:rFonts w:ascii="Times New Roman" w:eastAsia="Times New Roman" w:hAnsi="Times New Roman" w:cs="Times New Roman"/>
                <w:sz w:val="28"/>
              </w:rPr>
              <w:t>Пути совершенствования механизмов банкротства</w:t>
            </w:r>
          </w:p>
        </w:tc>
      </w:tr>
    </w:tbl>
    <w:p w:rsidR="00724B17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Style w:val="a3"/>
        <w:tblpPr w:leftFromText="180" w:rightFromText="180" w:vertAnchor="text" w:tblpX="198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90"/>
      </w:tblGrid>
      <w:tr w:rsidR="00724B17" w:rsidTr="00724B17">
        <w:trPr>
          <w:trHeight w:val="734"/>
        </w:trPr>
        <w:tc>
          <w:tcPr>
            <w:tcW w:w="5690" w:type="dxa"/>
          </w:tcPr>
          <w:p w:rsidR="00724B17" w:rsidRDefault="00724B17" w:rsidP="00724B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Повышение платёжеспособности предприятия</w:t>
            </w:r>
          </w:p>
        </w:tc>
      </w:tr>
      <w:tr w:rsidR="00724B17" w:rsidTr="00724B17">
        <w:trPr>
          <w:trHeight w:val="734"/>
        </w:trPr>
        <w:tc>
          <w:tcPr>
            <w:tcW w:w="5690" w:type="dxa"/>
          </w:tcPr>
          <w:p w:rsidR="00724B17" w:rsidRDefault="00724B17" w:rsidP="00724B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Оптимизация риска, связанного с функционированием предприятия</w:t>
            </w:r>
          </w:p>
        </w:tc>
      </w:tr>
      <w:tr w:rsidR="00724B17" w:rsidTr="00724B17">
        <w:trPr>
          <w:trHeight w:val="734"/>
        </w:trPr>
        <w:tc>
          <w:tcPr>
            <w:tcW w:w="5690" w:type="dxa"/>
          </w:tcPr>
          <w:p w:rsidR="00724B17" w:rsidRDefault="00724B17" w:rsidP="00724B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Повышение эффективности деятельности предприятия</w:t>
            </w:r>
          </w:p>
        </w:tc>
      </w:tr>
      <w:tr w:rsidR="00724B17" w:rsidTr="00724B17">
        <w:trPr>
          <w:trHeight w:val="734"/>
        </w:trPr>
        <w:tc>
          <w:tcPr>
            <w:tcW w:w="5690" w:type="dxa"/>
          </w:tcPr>
          <w:p w:rsidR="00724B17" w:rsidRDefault="00724B17" w:rsidP="00724B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</w:rPr>
              <w:pict>
                <v:shape id="_x0000_s1036" type="#_x0000_t32" style="position:absolute;left:0;text-align:left;margin-left:-70.5pt;margin-top:29.15pt;width:57.75pt;height:0;z-index:25166438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eastAsia="Times New Roman" w:hAnsi="Times New Roman" w:cs="Times New Roman"/>
                <w:sz w:val="28"/>
              </w:rPr>
              <w:t>Повышение эффективности основной деятельности предприятия</w:t>
            </w:r>
          </w:p>
        </w:tc>
      </w:tr>
    </w:tbl>
    <w:p w:rsidR="00724B17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pict>
          <v:shape id="_x0000_s1037" type="#_x0000_t32" style="position:absolute;left:0;text-align:left;margin-left:27.45pt;margin-top:125.1pt;width:54pt;height:.75pt;z-index:251665408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</w:rPr>
        <w:pict>
          <v:shape id="_x0000_s1038" type="#_x0000_t32" style="position:absolute;left:0;text-align:left;margin-left:27.45pt;margin-top:27.5pt;width:54pt;height:.75pt;z-index:251666432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8"/>
        </w:rPr>
        <w:pict>
          <v:shape id="_x0000_s1039" type="#_x0000_t32" style="position:absolute;left:0;text-align:left;margin-left:27.45pt;margin-top:74pt;width:54pt;height:.75pt;z-index:251667456;mso-position-horizontal-relative:text;mso-position-vertical-relative:text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sz w:val="28"/>
        </w:rPr>
        <w:br w:type="textWrapping" w:clear="all"/>
      </w:r>
    </w:p>
    <w:p w:rsidR="00724B17" w:rsidRDefault="00724B17" w:rsidP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Схема 2 - </w:t>
      </w:r>
      <w:r>
        <w:rPr>
          <w:rFonts w:ascii="Times New Roman" w:eastAsia="Times New Roman" w:hAnsi="Times New Roman" w:cs="Times New Roman"/>
          <w:sz w:val="28"/>
        </w:rPr>
        <w:t>Пути совершенствования механизмов банкротства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0378C1" w:rsidRDefault="00724B1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Банкротство достаточно острая, но одновременно интересная ситуация, которая даёт множество возможностей в сфере финанс</w:t>
      </w:r>
      <w:r>
        <w:rPr>
          <w:rFonts w:ascii="Times New Roman" w:eastAsia="Times New Roman" w:hAnsi="Times New Roman" w:cs="Times New Roman"/>
          <w:sz w:val="28"/>
        </w:rPr>
        <w:t>ового планирования и регулирования финансового состояния предприятия.</w:t>
      </w:r>
    </w:p>
    <w:p w:rsidR="000378C1" w:rsidRDefault="00724B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Благополучное финансовое состояние фирм - это главное условие его непрерывного и эффективного функционирования. Для его достижения необходимо обеспечить финансовую независимость, постоя</w:t>
      </w:r>
      <w:r>
        <w:rPr>
          <w:rFonts w:ascii="Times New Roman" w:eastAsia="Times New Roman" w:hAnsi="Times New Roman" w:cs="Times New Roman"/>
          <w:sz w:val="28"/>
        </w:rPr>
        <w:t>нную платежеспособность субъекта и высокую ликвидность баланса.</w:t>
      </w:r>
    </w:p>
    <w:p w:rsidR="000378C1" w:rsidRDefault="000378C1">
      <w:pPr>
        <w:ind w:firstLine="708"/>
        <w:rPr>
          <w:rFonts w:ascii="Times New Roman" w:eastAsia="Times New Roman" w:hAnsi="Times New Roman" w:cs="Times New Roman"/>
          <w:sz w:val="28"/>
        </w:rPr>
      </w:pPr>
    </w:p>
    <w:p w:rsidR="000378C1" w:rsidRDefault="00724B17">
      <w:pPr>
        <w:ind w:firstLine="708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Список литературы:</w:t>
      </w:r>
    </w:p>
    <w:p w:rsidR="000378C1" w:rsidRDefault="00724B17">
      <w:pPr>
        <w:numPr>
          <w:ilvl w:val="0"/>
          <w:numId w:val="2"/>
        </w:numPr>
        <w:ind w:left="1068" w:hanging="360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 xml:space="preserve">Гаврилова В.Е. Банкротство в России. Вопросы истории, теории и практики / В.Е. Гаврилова. – М.: </w:t>
      </w:r>
      <w:proofErr w:type="spellStart"/>
      <w:r>
        <w:rPr>
          <w:rFonts w:ascii="Times New Roman" w:eastAsia="Times New Roman" w:hAnsi="Times New Roman" w:cs="Times New Roman"/>
          <w:sz w:val="28"/>
        </w:rPr>
        <w:t>Теиз</w:t>
      </w:r>
      <w:proofErr w:type="spellEnd"/>
      <w:r>
        <w:rPr>
          <w:rFonts w:ascii="Times New Roman" w:eastAsia="Times New Roman" w:hAnsi="Times New Roman" w:cs="Times New Roman"/>
          <w:sz w:val="28"/>
        </w:rPr>
        <w:t>, 2003.-207с.</w:t>
      </w:r>
    </w:p>
    <w:p w:rsidR="000378C1" w:rsidRDefault="00724B17">
      <w:pPr>
        <w:numPr>
          <w:ilvl w:val="0"/>
          <w:numId w:val="2"/>
        </w:numPr>
        <w:ind w:left="1068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Кукина И.Г. Учет и анализ банкротства. – 2-е изд., </w:t>
      </w:r>
      <w:proofErr w:type="spellStart"/>
      <w:r>
        <w:rPr>
          <w:rFonts w:ascii="Times New Roman" w:eastAsia="Times New Roman" w:hAnsi="Times New Roman" w:cs="Times New Roman"/>
          <w:sz w:val="28"/>
        </w:rPr>
        <w:t>испр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./ </w:t>
      </w:r>
      <w:r>
        <w:rPr>
          <w:rFonts w:ascii="Times New Roman" w:eastAsia="Times New Roman" w:hAnsi="Times New Roman" w:cs="Times New Roman"/>
          <w:sz w:val="28"/>
        </w:rPr>
        <w:t>И.Г. Кукина. – М.: Финансы и статистика, 2006.</w:t>
      </w:r>
    </w:p>
    <w:p w:rsidR="000378C1" w:rsidRDefault="00724B17">
      <w:pPr>
        <w:numPr>
          <w:ilvl w:val="0"/>
          <w:numId w:val="2"/>
        </w:numPr>
        <w:ind w:left="1068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Несостоятельность (банкротство). Научно-практический комментарий новелл законодательства и практики его применения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/ 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од ред. В. В. </w:t>
      </w:r>
      <w:proofErr w:type="spellStart"/>
      <w:r>
        <w:rPr>
          <w:rFonts w:ascii="Times New Roman" w:eastAsia="Times New Roman" w:hAnsi="Times New Roman" w:cs="Times New Roman"/>
          <w:sz w:val="28"/>
        </w:rPr>
        <w:t>Витрянского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>. М.: Статут, 2010.  -  136 с.</w:t>
      </w:r>
    </w:p>
    <w:p w:rsidR="000378C1" w:rsidRDefault="00724B17">
      <w:pPr>
        <w:numPr>
          <w:ilvl w:val="0"/>
          <w:numId w:val="2"/>
        </w:numPr>
        <w:ind w:left="1068" w:hanging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Пирогова Е.С. Ограничение прав долж</w:t>
      </w:r>
      <w:r>
        <w:rPr>
          <w:rFonts w:ascii="Times New Roman" w:eastAsia="Times New Roman" w:hAnsi="Times New Roman" w:cs="Times New Roman"/>
          <w:sz w:val="28"/>
        </w:rPr>
        <w:t>ников - юридических лиц при несостоятельности. – М.: Академия, 2011. – 160 с.</w:t>
      </w:r>
    </w:p>
    <w:sectPr w:rsidR="00037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ItalicMT-Ident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7D8E"/>
    <w:multiLevelType w:val="multilevel"/>
    <w:tmpl w:val="0A6876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4D3DAC"/>
    <w:multiLevelType w:val="multilevel"/>
    <w:tmpl w:val="5B5AF0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78C1"/>
    <w:rsid w:val="000378C1"/>
    <w:rsid w:val="00250295"/>
    <w:rsid w:val="0061153A"/>
    <w:rsid w:val="0072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1" type="connector" idref="#_x0000_s1035"/>
        <o:r id="V:Rule2" type="connector" idref="#_x0000_s1036"/>
        <o:r id="V:Rule3" type="connector" idref="#_x0000_s1037"/>
        <o:r id="V:Rule4" type="connector" idref="#_x0000_s1038"/>
        <o:r id="V:Rule5" type="connector" idref="#_x0000_s103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2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Катя</cp:lastModifiedBy>
  <cp:revision>2</cp:revision>
  <dcterms:created xsi:type="dcterms:W3CDTF">2018-02-15T15:58:00Z</dcterms:created>
  <dcterms:modified xsi:type="dcterms:W3CDTF">2018-02-15T17:05:00Z</dcterms:modified>
</cp:coreProperties>
</file>